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47BE9" w14:textId="50A56A83" w:rsidR="00E82483" w:rsidRPr="00E82483" w:rsidRDefault="00E82483">
      <w:pPr>
        <w:rPr>
          <w:b/>
          <w:bCs/>
          <w:sz w:val="28"/>
          <w:szCs w:val="28"/>
        </w:rPr>
      </w:pPr>
      <w:r w:rsidRPr="00E82483">
        <w:rPr>
          <w:b/>
          <w:bCs/>
          <w:sz w:val="28"/>
          <w:szCs w:val="28"/>
        </w:rPr>
        <w:t xml:space="preserve">Checkliste: </w:t>
      </w:r>
      <w:r w:rsidR="006956E2">
        <w:rPr>
          <w:b/>
          <w:bCs/>
          <w:sz w:val="28"/>
          <w:szCs w:val="28"/>
        </w:rPr>
        <w:t>Abrufarbeit</w:t>
      </w:r>
    </w:p>
    <w:p w14:paraId="7345DBC2" w14:textId="77777777" w:rsidR="00E82483" w:rsidRDefault="00E824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55"/>
        <w:gridCol w:w="1291"/>
      </w:tblGrid>
      <w:tr w:rsidR="008555AA" w:rsidRPr="004016FA" w14:paraId="213A03EC" w14:textId="77777777" w:rsidTr="00BF084B">
        <w:tc>
          <w:tcPr>
            <w:tcW w:w="6516" w:type="dxa"/>
            <w:vMerge w:val="restart"/>
            <w:shd w:val="clear" w:color="auto" w:fill="auto"/>
          </w:tcPr>
          <w:p w14:paraId="01988320" w14:textId="77777777" w:rsidR="008555AA" w:rsidRPr="004016FA" w:rsidRDefault="008555AA" w:rsidP="00E57CDD">
            <w:pPr>
              <w:jc w:val="left"/>
              <w:rPr>
                <w:rFonts w:eastAsia="Times New Roman" w:cs="Arial"/>
                <w:b/>
              </w:rPr>
            </w:pPr>
            <w:r w:rsidRPr="004016FA">
              <w:rPr>
                <w:rFonts w:eastAsia="Times New Roman" w:cs="Arial"/>
                <w:b/>
              </w:rPr>
              <w:t>Fakten: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52EB2011" w14:textId="77777777" w:rsidR="008555AA" w:rsidRPr="004016FA" w:rsidRDefault="008555AA" w:rsidP="00E57CDD">
            <w:pPr>
              <w:jc w:val="left"/>
              <w:rPr>
                <w:rFonts w:eastAsia="Times New Roman" w:cs="Arial"/>
                <w:b/>
              </w:rPr>
            </w:pPr>
            <w:r w:rsidRPr="004016FA">
              <w:rPr>
                <w:rFonts w:eastAsia="Times New Roman" w:cs="Arial"/>
                <w:b/>
              </w:rPr>
              <w:t>Ich kenne die Fakten:</w:t>
            </w:r>
          </w:p>
        </w:tc>
      </w:tr>
      <w:tr w:rsidR="008555AA" w:rsidRPr="004016FA" w14:paraId="7AA334A7" w14:textId="77777777" w:rsidTr="00BF084B">
        <w:tc>
          <w:tcPr>
            <w:tcW w:w="6516" w:type="dxa"/>
            <w:vMerge/>
            <w:shd w:val="clear" w:color="auto" w:fill="auto"/>
          </w:tcPr>
          <w:p w14:paraId="49B52836" w14:textId="77777777" w:rsidR="008555AA" w:rsidRPr="004016FA" w:rsidRDefault="008555AA" w:rsidP="00E57CDD">
            <w:pPr>
              <w:jc w:val="left"/>
              <w:rPr>
                <w:rFonts w:eastAsia="Times New Roman" w:cs="Arial"/>
                <w:b/>
              </w:rPr>
            </w:pPr>
          </w:p>
        </w:tc>
        <w:tc>
          <w:tcPr>
            <w:tcW w:w="1255" w:type="dxa"/>
            <w:shd w:val="clear" w:color="auto" w:fill="auto"/>
          </w:tcPr>
          <w:p w14:paraId="45D4714A" w14:textId="77777777" w:rsidR="008555AA" w:rsidRPr="004016FA" w:rsidRDefault="008555AA" w:rsidP="00BF084B">
            <w:pPr>
              <w:jc w:val="center"/>
              <w:rPr>
                <w:rFonts w:eastAsia="Times New Roman" w:cs="Arial"/>
                <w:b/>
              </w:rPr>
            </w:pPr>
            <w:r w:rsidRPr="004016FA">
              <w:rPr>
                <w:rFonts w:eastAsia="Times New Roman" w:cs="Arial"/>
                <w:b/>
              </w:rPr>
              <w:t>Ja</w:t>
            </w:r>
          </w:p>
        </w:tc>
        <w:tc>
          <w:tcPr>
            <w:tcW w:w="1291" w:type="dxa"/>
            <w:shd w:val="clear" w:color="auto" w:fill="auto"/>
          </w:tcPr>
          <w:p w14:paraId="020AFD47" w14:textId="77777777" w:rsidR="008555AA" w:rsidRPr="004016FA" w:rsidRDefault="008555AA" w:rsidP="00BF084B">
            <w:pPr>
              <w:jc w:val="center"/>
              <w:rPr>
                <w:rFonts w:eastAsia="Times New Roman" w:cs="Arial"/>
                <w:b/>
              </w:rPr>
            </w:pPr>
            <w:r w:rsidRPr="004016FA">
              <w:rPr>
                <w:rFonts w:eastAsia="Times New Roman" w:cs="Arial"/>
                <w:b/>
              </w:rPr>
              <w:t>Nein</w:t>
            </w:r>
          </w:p>
        </w:tc>
      </w:tr>
      <w:tr w:rsidR="00BF084B" w:rsidRPr="004016FA" w14:paraId="4CA62045" w14:textId="77777777" w:rsidTr="00BF084B">
        <w:tc>
          <w:tcPr>
            <w:tcW w:w="6516" w:type="dxa"/>
            <w:shd w:val="clear" w:color="auto" w:fill="auto"/>
          </w:tcPr>
          <w:p w14:paraId="6227DCC9" w14:textId="77777777" w:rsidR="00BF084B" w:rsidRPr="004016FA" w:rsidRDefault="00BF084B" w:rsidP="00BF084B">
            <w:pPr>
              <w:shd w:val="clear" w:color="auto" w:fill="FFFFFF"/>
              <w:jc w:val="left"/>
              <w:rPr>
                <w:rFonts w:eastAsia="Times New Roman" w:cs="Arial"/>
              </w:rPr>
            </w:pPr>
            <w:r w:rsidRPr="004016FA">
              <w:rPr>
                <w:rFonts w:eastAsia="Times New Roman" w:cs="Arial"/>
              </w:rPr>
              <w:t xml:space="preserve">Hat der Dienstherr mit dem Mitarbeiter nicht vereinbart, wie lange dieser pro Woche und Tag arbeitet, muss er 20 Std. pro Woche vergüten sowie 3 Stunden pro Einsatz (§ 12 Abs. 1 Satz 3 TzBfG). </w:t>
            </w:r>
          </w:p>
        </w:tc>
        <w:tc>
          <w:tcPr>
            <w:tcW w:w="1255" w:type="dxa"/>
            <w:shd w:val="clear" w:color="auto" w:fill="auto"/>
          </w:tcPr>
          <w:p w14:paraId="2E4DEE00" w14:textId="3E21A7E4" w:rsidR="00BF084B" w:rsidRPr="004016FA" w:rsidRDefault="00BF084B" w:rsidP="00BF084B">
            <w:pPr>
              <w:jc w:val="center"/>
              <w:rPr>
                <w:rFonts w:eastAsia="Times New Roman" w:cs="Arial"/>
              </w:rPr>
            </w:pPr>
            <w:r>
              <w:rPr>
                <w:rFonts w:ascii="Wingdings 2" w:eastAsia="Times New Roman" w:hAnsi="Wingdings 2" w:cs="Arial"/>
              </w:rPr>
              <w:t>£</w:t>
            </w:r>
          </w:p>
        </w:tc>
        <w:tc>
          <w:tcPr>
            <w:tcW w:w="1291" w:type="dxa"/>
            <w:shd w:val="clear" w:color="auto" w:fill="auto"/>
          </w:tcPr>
          <w:p w14:paraId="7EB04DD0" w14:textId="684591A9" w:rsidR="00BF084B" w:rsidRPr="004016FA" w:rsidRDefault="00BF084B" w:rsidP="00BF084B">
            <w:pPr>
              <w:jc w:val="center"/>
              <w:rPr>
                <w:rFonts w:eastAsia="Times New Roman" w:cs="Arial"/>
              </w:rPr>
            </w:pPr>
            <w:r>
              <w:rPr>
                <w:rFonts w:ascii="Wingdings 2" w:eastAsia="Times New Roman" w:hAnsi="Wingdings 2" w:cs="Arial"/>
              </w:rPr>
              <w:t>£</w:t>
            </w:r>
          </w:p>
        </w:tc>
      </w:tr>
      <w:tr w:rsidR="00BF084B" w:rsidRPr="004016FA" w14:paraId="5CDD04C6" w14:textId="77777777" w:rsidTr="00BF084B">
        <w:tc>
          <w:tcPr>
            <w:tcW w:w="6516" w:type="dxa"/>
            <w:shd w:val="clear" w:color="auto" w:fill="auto"/>
          </w:tcPr>
          <w:p w14:paraId="1C30CCB6" w14:textId="73814865" w:rsidR="00BF084B" w:rsidRPr="004016FA" w:rsidRDefault="00BF084B" w:rsidP="00BF084B">
            <w:pPr>
              <w:shd w:val="clear" w:color="auto" w:fill="FFFFFF"/>
              <w:jc w:val="left"/>
              <w:rPr>
                <w:rFonts w:eastAsia="Times New Roman" w:cs="Arial"/>
              </w:rPr>
            </w:pPr>
            <w:r w:rsidRPr="004016FA">
              <w:rPr>
                <w:rFonts w:eastAsia="Times New Roman" w:cs="Arial"/>
              </w:rPr>
              <w:t>Die Möglichkeit, wöchentliche Mindest- oder Höchstarbeitszeiten festzulegen, steht im Gesetz (§ 12 Abs. 2 TzBfG). Die Mindestarbeitszeit d</w:t>
            </w:r>
            <w:r>
              <w:rPr>
                <w:rFonts w:eastAsia="Times New Roman" w:cs="Arial"/>
              </w:rPr>
              <w:t>arf</w:t>
            </w:r>
            <w:r w:rsidRPr="004016FA">
              <w:rPr>
                <w:rFonts w:eastAsia="Times New Roman" w:cs="Arial"/>
              </w:rPr>
              <w:t xml:space="preserve"> dann nur um höchstens 25 % überschritten und die Höchstarbeitszeit um höchstens 20 % unterschritten werden. </w:t>
            </w:r>
          </w:p>
        </w:tc>
        <w:tc>
          <w:tcPr>
            <w:tcW w:w="1255" w:type="dxa"/>
            <w:shd w:val="clear" w:color="auto" w:fill="auto"/>
          </w:tcPr>
          <w:p w14:paraId="172A2D33" w14:textId="4F334222" w:rsidR="00BF084B" w:rsidRPr="004016FA" w:rsidRDefault="00BF084B" w:rsidP="00BF084B">
            <w:pPr>
              <w:jc w:val="center"/>
              <w:rPr>
                <w:rFonts w:eastAsia="Times New Roman" w:cs="Arial"/>
              </w:rPr>
            </w:pPr>
            <w:r>
              <w:rPr>
                <w:rFonts w:ascii="Wingdings 2" w:eastAsia="Times New Roman" w:hAnsi="Wingdings 2" w:cs="Arial"/>
              </w:rPr>
              <w:t>£</w:t>
            </w:r>
          </w:p>
        </w:tc>
        <w:tc>
          <w:tcPr>
            <w:tcW w:w="1291" w:type="dxa"/>
            <w:shd w:val="clear" w:color="auto" w:fill="auto"/>
          </w:tcPr>
          <w:p w14:paraId="4814B127" w14:textId="4FF1F715" w:rsidR="00BF084B" w:rsidRPr="004016FA" w:rsidRDefault="00BF084B" w:rsidP="00BF084B">
            <w:pPr>
              <w:jc w:val="center"/>
              <w:rPr>
                <w:rFonts w:eastAsia="Times New Roman" w:cs="Arial"/>
              </w:rPr>
            </w:pPr>
            <w:r>
              <w:rPr>
                <w:rFonts w:ascii="Wingdings 2" w:eastAsia="Times New Roman" w:hAnsi="Wingdings 2" w:cs="Arial"/>
              </w:rPr>
              <w:t>£</w:t>
            </w:r>
          </w:p>
        </w:tc>
      </w:tr>
      <w:tr w:rsidR="00BF084B" w:rsidRPr="004016FA" w14:paraId="6AFB14BE" w14:textId="77777777" w:rsidTr="00BF084B">
        <w:tc>
          <w:tcPr>
            <w:tcW w:w="6516" w:type="dxa"/>
            <w:shd w:val="clear" w:color="auto" w:fill="auto"/>
          </w:tcPr>
          <w:p w14:paraId="260D1771" w14:textId="77777777" w:rsidR="00BF084B" w:rsidRPr="004016FA" w:rsidRDefault="00BF084B" w:rsidP="00BF084B">
            <w:pPr>
              <w:shd w:val="clear" w:color="auto" w:fill="FFFFFF"/>
              <w:jc w:val="left"/>
              <w:rPr>
                <w:rFonts w:eastAsia="Times New Roman" w:cs="Arial"/>
              </w:rPr>
            </w:pPr>
            <w:r w:rsidRPr="004016FA">
              <w:rPr>
                <w:rFonts w:eastAsia="Times New Roman" w:cs="Arial"/>
              </w:rPr>
              <w:t>Bei Krankheit und an Feiertagen muss dem Mitarbeiter eine Entgeltfortzahlung gezahlt werden. Diese bemisst sich nach der durchschnittlichen Arbeitszeit des Mitarbeiters in den letzten 3 Monaten (§ 12 Abs. 4 TzBfG). Der Dienstherr kann sich dann nicht darauf berufen, der Mitarbeiter wäre ohnehin nicht zur Arbeit eingeteilt worden.</w:t>
            </w:r>
          </w:p>
        </w:tc>
        <w:tc>
          <w:tcPr>
            <w:tcW w:w="1255" w:type="dxa"/>
            <w:shd w:val="clear" w:color="auto" w:fill="auto"/>
          </w:tcPr>
          <w:p w14:paraId="5F491906" w14:textId="7C7CF8C6" w:rsidR="00BF084B" w:rsidRPr="004016FA" w:rsidRDefault="00BF084B" w:rsidP="00BF084B">
            <w:pPr>
              <w:jc w:val="center"/>
              <w:rPr>
                <w:rFonts w:eastAsia="Times New Roman" w:cs="Arial"/>
              </w:rPr>
            </w:pPr>
            <w:r>
              <w:rPr>
                <w:rFonts w:ascii="Wingdings 2" w:eastAsia="Times New Roman" w:hAnsi="Wingdings 2" w:cs="Arial"/>
              </w:rPr>
              <w:t>£</w:t>
            </w:r>
          </w:p>
        </w:tc>
        <w:tc>
          <w:tcPr>
            <w:tcW w:w="1291" w:type="dxa"/>
            <w:shd w:val="clear" w:color="auto" w:fill="auto"/>
          </w:tcPr>
          <w:p w14:paraId="1251E641" w14:textId="10A0AFAE" w:rsidR="00BF084B" w:rsidRPr="004016FA" w:rsidRDefault="00BF084B" w:rsidP="00BF084B">
            <w:pPr>
              <w:jc w:val="center"/>
              <w:rPr>
                <w:rFonts w:eastAsia="Times New Roman" w:cs="Arial"/>
              </w:rPr>
            </w:pPr>
            <w:r>
              <w:rPr>
                <w:rFonts w:ascii="Wingdings 2" w:eastAsia="Times New Roman" w:hAnsi="Wingdings 2" w:cs="Arial"/>
              </w:rPr>
              <w:t>£</w:t>
            </w:r>
          </w:p>
        </w:tc>
      </w:tr>
    </w:tbl>
    <w:p w14:paraId="3D57A1A7" w14:textId="77777777" w:rsidR="008555AA" w:rsidRPr="004016FA" w:rsidRDefault="008555AA" w:rsidP="008555AA">
      <w:pPr>
        <w:rPr>
          <w:rFonts w:cs="Arial"/>
        </w:rPr>
      </w:pPr>
    </w:p>
    <w:sectPr w:rsidR="008555AA" w:rsidRPr="004016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AA"/>
    <w:rsid w:val="002F7AF7"/>
    <w:rsid w:val="005E198D"/>
    <w:rsid w:val="005F3FE3"/>
    <w:rsid w:val="006956E2"/>
    <w:rsid w:val="0084509B"/>
    <w:rsid w:val="008555AA"/>
    <w:rsid w:val="00A05707"/>
    <w:rsid w:val="00B34C68"/>
    <w:rsid w:val="00BD4D7E"/>
    <w:rsid w:val="00BF084B"/>
    <w:rsid w:val="00C77E6B"/>
    <w:rsid w:val="00E8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8EC2"/>
  <w15:chartTrackingRefBased/>
  <w15:docId w15:val="{0AF95153-D12F-4042-9DB7-E1BBBCF5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55AA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g-star-inserted">
    <w:name w:val="ng-star-inserted"/>
    <w:basedOn w:val="Absatz-Standardschriftart"/>
    <w:rsid w:val="00B3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742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6</cp:revision>
  <dcterms:created xsi:type="dcterms:W3CDTF">2024-04-24T15:53:00Z</dcterms:created>
  <dcterms:modified xsi:type="dcterms:W3CDTF">2024-06-06T09:50:00Z</dcterms:modified>
</cp:coreProperties>
</file>