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4863" w14:textId="77777777" w:rsidR="00CA79B0" w:rsidRPr="00CA79B0" w:rsidRDefault="00CA79B0" w:rsidP="00CA79B0">
      <w:pPr>
        <w:rPr>
          <w:rFonts w:eastAsia="Calibri" w:cs="Times New Roman"/>
          <w:b/>
          <w:bCs/>
          <w:kern w:val="0"/>
          <w14:ligatures w14:val="none"/>
        </w:rPr>
      </w:pPr>
      <w:r w:rsidRPr="00CA79B0">
        <w:rPr>
          <w:rFonts w:eastAsia="Calibri" w:cs="Times New Roman"/>
          <w:b/>
          <w:bCs/>
          <w:kern w:val="0"/>
          <w14:ligatures w14:val="none"/>
        </w:rPr>
        <w:t xml:space="preserve">Checkliste: Worauf Sie bei der Einführung hybrider Arbeitsformen </w:t>
      </w:r>
      <w:proofErr w:type="gramStart"/>
      <w:r w:rsidRPr="00CA79B0">
        <w:rPr>
          <w:rFonts w:eastAsia="Calibri" w:cs="Times New Roman"/>
          <w:b/>
          <w:bCs/>
          <w:kern w:val="0"/>
          <w14:ligatures w14:val="none"/>
        </w:rPr>
        <w:t>achten</w:t>
      </w:r>
      <w:proofErr w:type="gramEnd"/>
      <w:r w:rsidRPr="00CA79B0">
        <w:rPr>
          <w:rFonts w:eastAsia="Calibri" w:cs="Times New Roman"/>
          <w:b/>
          <w:bCs/>
          <w:kern w:val="0"/>
          <w14:ligatures w14:val="none"/>
        </w:rPr>
        <w:t xml:space="preserve"> sollten</w:t>
      </w:r>
    </w:p>
    <w:p w14:paraId="7941D986" w14:textId="77777777" w:rsidR="00CA79B0" w:rsidRPr="00CA79B0" w:rsidRDefault="00CA79B0" w:rsidP="00CA79B0">
      <w:pPr>
        <w:rPr>
          <w:rFonts w:eastAsia="Calibri" w:cs="Times New Roman"/>
          <w:kern w:val="0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987"/>
      </w:tblGrid>
      <w:tr w:rsidR="00CA79B0" w:rsidRPr="00CA79B0" w14:paraId="54660320" w14:textId="77777777" w:rsidTr="004E04B9">
        <w:tc>
          <w:tcPr>
            <w:tcW w:w="2547" w:type="dxa"/>
          </w:tcPr>
          <w:p w14:paraId="6E42E888" w14:textId="77777777" w:rsidR="00CA79B0" w:rsidRPr="00CA79B0" w:rsidRDefault="00CA79B0" w:rsidP="00CA79B0">
            <w:pPr>
              <w:rPr>
                <w:rFonts w:eastAsia="Calibri" w:cs="Times New Roman"/>
                <w:b/>
                <w:bCs/>
              </w:rPr>
            </w:pPr>
            <w:r w:rsidRPr="00CA79B0">
              <w:rPr>
                <w:rFonts w:eastAsia="Calibri" w:cs="Times New Roman"/>
                <w:b/>
                <w:bCs/>
              </w:rPr>
              <w:t>To do</w:t>
            </w:r>
          </w:p>
        </w:tc>
        <w:tc>
          <w:tcPr>
            <w:tcW w:w="5528" w:type="dxa"/>
          </w:tcPr>
          <w:p w14:paraId="17DF972E" w14:textId="4C9D3E75" w:rsidR="00CA79B0" w:rsidRPr="00CA79B0" w:rsidRDefault="00CA79B0" w:rsidP="00CA79B0">
            <w:pPr>
              <w:rPr>
                <w:rFonts w:eastAsia="Calibri" w:cs="Times New Roman"/>
                <w:b/>
                <w:bCs/>
              </w:rPr>
            </w:pPr>
            <w:r w:rsidRPr="00CA79B0">
              <w:rPr>
                <w:rFonts w:eastAsia="Calibri" w:cs="Times New Roman"/>
                <w:b/>
                <w:bCs/>
              </w:rPr>
              <w:t>Darum geht</w:t>
            </w:r>
            <w:r w:rsidR="00E5334C">
              <w:rPr>
                <w:rFonts w:eastAsia="Calibri" w:cs="Times New Roman"/>
                <w:b/>
                <w:bCs/>
              </w:rPr>
              <w:t>‘</w:t>
            </w:r>
            <w:r w:rsidRPr="00CA79B0">
              <w:rPr>
                <w:rFonts w:eastAsia="Calibri" w:cs="Times New Roman"/>
                <w:b/>
                <w:bCs/>
              </w:rPr>
              <w:t>s</w:t>
            </w:r>
          </w:p>
        </w:tc>
        <w:tc>
          <w:tcPr>
            <w:tcW w:w="987" w:type="dxa"/>
          </w:tcPr>
          <w:p w14:paraId="77B7773B" w14:textId="77777777" w:rsidR="00CA79B0" w:rsidRPr="00CA79B0" w:rsidRDefault="00CA79B0" w:rsidP="00CA79B0">
            <w:pPr>
              <w:rPr>
                <w:rFonts w:eastAsia="Calibri" w:cs="Times New Roman"/>
                <w:b/>
                <w:bCs/>
              </w:rPr>
            </w:pPr>
            <w:r w:rsidRPr="00CA79B0">
              <w:rPr>
                <w:rFonts w:eastAsia="Calibri" w:cs="Times New Roman"/>
                <w:b/>
                <w:bCs/>
              </w:rPr>
              <w:t>Check</w:t>
            </w:r>
          </w:p>
        </w:tc>
      </w:tr>
      <w:tr w:rsidR="00CA79B0" w:rsidRPr="00CA79B0" w14:paraId="2AFAF564" w14:textId="77777777" w:rsidTr="00E5334C">
        <w:tc>
          <w:tcPr>
            <w:tcW w:w="2547" w:type="dxa"/>
          </w:tcPr>
          <w:p w14:paraId="6892C3A8" w14:textId="77777777" w:rsidR="00CA79B0" w:rsidRPr="00CA79B0" w:rsidRDefault="00CA79B0" w:rsidP="00CA79B0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Frühzeitige Einbindung</w:t>
            </w:r>
          </w:p>
        </w:tc>
        <w:tc>
          <w:tcPr>
            <w:tcW w:w="5528" w:type="dxa"/>
          </w:tcPr>
          <w:p w14:paraId="6168E67C" w14:textId="77777777" w:rsidR="00CA79B0" w:rsidRPr="00CA79B0" w:rsidRDefault="00CA79B0" w:rsidP="00CA79B0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Sobald die Dienststelle ein neues Arbeitsmodell oder Änderungen plant, muss sie Sie als Personalrat informieren. Schriftliche Unterlagen helfen, die Mitbestimmung klar zu gestalten.</w:t>
            </w:r>
          </w:p>
        </w:tc>
        <w:tc>
          <w:tcPr>
            <w:tcW w:w="987" w:type="dxa"/>
            <w:vAlign w:val="center"/>
          </w:tcPr>
          <w:p w14:paraId="105F16D0" w14:textId="592A29C9" w:rsidR="00CA79B0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2688F487" w14:textId="77777777" w:rsidTr="002C559F">
        <w:tc>
          <w:tcPr>
            <w:tcW w:w="2547" w:type="dxa"/>
          </w:tcPr>
          <w:p w14:paraId="78A4D045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 xml:space="preserve">Transparenz sicherstellen </w:t>
            </w:r>
          </w:p>
        </w:tc>
        <w:tc>
          <w:tcPr>
            <w:tcW w:w="5528" w:type="dxa"/>
          </w:tcPr>
          <w:p w14:paraId="65D6EA30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Arbeitszeiten, Homeoffice-Regelungen und andere hybride Arbeitsformen sollten transparent kommuniziert werden. Das schützt Beschäftigte und stärkt die Mitbestimmung.</w:t>
            </w:r>
          </w:p>
        </w:tc>
        <w:tc>
          <w:tcPr>
            <w:tcW w:w="987" w:type="dxa"/>
            <w:vAlign w:val="center"/>
          </w:tcPr>
          <w:p w14:paraId="00E32ED9" w14:textId="6E88B67E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4CC067F9" w14:textId="77777777" w:rsidTr="002C559F">
        <w:tc>
          <w:tcPr>
            <w:tcW w:w="2547" w:type="dxa"/>
          </w:tcPr>
          <w:p w14:paraId="6F19B3A3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Regelungen dokumentieren</w:t>
            </w:r>
          </w:p>
        </w:tc>
        <w:tc>
          <w:tcPr>
            <w:tcW w:w="5528" w:type="dxa"/>
          </w:tcPr>
          <w:p w14:paraId="480D5C54" w14:textId="7994B67F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Vereinbarungen zwischen Personalrat und Dienststelle schriftlich fixieren, um spätere Konflikte zu vermeiden.</w:t>
            </w:r>
          </w:p>
        </w:tc>
        <w:tc>
          <w:tcPr>
            <w:tcW w:w="987" w:type="dxa"/>
            <w:vAlign w:val="center"/>
          </w:tcPr>
          <w:p w14:paraId="439BD829" w14:textId="0DCDE7C7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74F5267D" w14:textId="77777777" w:rsidTr="002C559F">
        <w:tc>
          <w:tcPr>
            <w:tcW w:w="2547" w:type="dxa"/>
          </w:tcPr>
          <w:p w14:paraId="0C619573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Gesundheit und Sicherheit berücksichtigen</w:t>
            </w:r>
          </w:p>
        </w:tc>
        <w:tc>
          <w:tcPr>
            <w:tcW w:w="5528" w:type="dxa"/>
          </w:tcPr>
          <w:p w14:paraId="16AF1607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Bei Dienstreisen und Arbeitszeiten müssen Schutzmaßnahmen, Pausenregelungen und ergonomische Arbeitsplätze eingehalten werden.</w:t>
            </w:r>
          </w:p>
        </w:tc>
        <w:tc>
          <w:tcPr>
            <w:tcW w:w="987" w:type="dxa"/>
            <w:vAlign w:val="center"/>
          </w:tcPr>
          <w:p w14:paraId="55ECB553" w14:textId="2F417544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516C843F" w14:textId="77777777" w:rsidTr="002C559F">
        <w:tc>
          <w:tcPr>
            <w:tcW w:w="2547" w:type="dxa"/>
          </w:tcPr>
          <w:p w14:paraId="7BD2747B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Chancengleichheit gewährleisten</w:t>
            </w:r>
          </w:p>
        </w:tc>
        <w:tc>
          <w:tcPr>
            <w:tcW w:w="5528" w:type="dxa"/>
          </w:tcPr>
          <w:p w14:paraId="53CB8240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Achten Sie als Personalrat darauf, dass alle Mitarbeitenden fair behandelt werden und Homeoffice oder flexible Arbeitszeiten nicht zu Nachteilen führen.</w:t>
            </w:r>
          </w:p>
        </w:tc>
        <w:tc>
          <w:tcPr>
            <w:tcW w:w="987" w:type="dxa"/>
            <w:vAlign w:val="center"/>
          </w:tcPr>
          <w:p w14:paraId="4150BCEC" w14:textId="7D3C7F7A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02637109" w14:textId="77777777" w:rsidTr="000147D6">
        <w:tc>
          <w:tcPr>
            <w:tcW w:w="2547" w:type="dxa"/>
          </w:tcPr>
          <w:p w14:paraId="4B1A4EE9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Fortbildung nutzen</w:t>
            </w:r>
          </w:p>
        </w:tc>
        <w:tc>
          <w:tcPr>
            <w:tcW w:w="5528" w:type="dxa"/>
          </w:tcPr>
          <w:p w14:paraId="4B521B4F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Personalräte profitieren von Schulungen zu Arbeitsrecht, digitaler Arbeitsorganisation und neuen Arbeitsformen, um kompetent beraten zu können.</w:t>
            </w:r>
          </w:p>
        </w:tc>
        <w:tc>
          <w:tcPr>
            <w:tcW w:w="987" w:type="dxa"/>
            <w:vAlign w:val="center"/>
          </w:tcPr>
          <w:p w14:paraId="27EE774C" w14:textId="1F961402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1C1F185A" w14:textId="77777777" w:rsidTr="000147D6">
        <w:tc>
          <w:tcPr>
            <w:tcW w:w="2547" w:type="dxa"/>
          </w:tcPr>
          <w:p w14:paraId="3BF41241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Feedback sammeln</w:t>
            </w:r>
          </w:p>
        </w:tc>
        <w:tc>
          <w:tcPr>
            <w:tcW w:w="5528" w:type="dxa"/>
          </w:tcPr>
          <w:p w14:paraId="1D6D12FF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 xml:space="preserve">Regelmäßige Rückmeldungen der Beschäftigten helfen, die Arbeitsmodelle anzupassen und Probleme frühzeitig zu erkennen. </w:t>
            </w:r>
          </w:p>
        </w:tc>
        <w:tc>
          <w:tcPr>
            <w:tcW w:w="987" w:type="dxa"/>
            <w:vAlign w:val="center"/>
          </w:tcPr>
          <w:p w14:paraId="7C7E80C6" w14:textId="5B8A4387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133CFAFD" w14:textId="77777777" w:rsidTr="000147D6">
        <w:tc>
          <w:tcPr>
            <w:tcW w:w="2547" w:type="dxa"/>
          </w:tcPr>
          <w:p w14:paraId="6FF6083D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Kommunikation stärken</w:t>
            </w:r>
          </w:p>
        </w:tc>
        <w:tc>
          <w:tcPr>
            <w:tcW w:w="5528" w:type="dxa"/>
          </w:tcPr>
          <w:p w14:paraId="4CA6FA4E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Nutzen Sie als Personalrat digitale Plattformen, um Mitarbeitende zu informieren und zu vernetzen. So lassen sich Missverständnisse vermeiden und die Akzeptanz erhöhen.</w:t>
            </w:r>
          </w:p>
        </w:tc>
        <w:tc>
          <w:tcPr>
            <w:tcW w:w="987" w:type="dxa"/>
            <w:vAlign w:val="center"/>
          </w:tcPr>
          <w:p w14:paraId="3CDD5CC6" w14:textId="624D71BA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1CC36DEB" w14:textId="77777777" w:rsidTr="005A5FA4">
        <w:tc>
          <w:tcPr>
            <w:tcW w:w="2547" w:type="dxa"/>
          </w:tcPr>
          <w:p w14:paraId="25757455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Innovative Lösungen prüfen</w:t>
            </w:r>
          </w:p>
        </w:tc>
        <w:tc>
          <w:tcPr>
            <w:tcW w:w="5528" w:type="dxa"/>
          </w:tcPr>
          <w:p w14:paraId="25FCB21A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Dienststellen und Personalräte können Pilotprojekte starten, um neue Arbeitsmodelle zu testen. Das erlaubt, praxisnah Anpassungen vorzunehmen und Erfolge messbar zu machen.</w:t>
            </w:r>
          </w:p>
        </w:tc>
        <w:tc>
          <w:tcPr>
            <w:tcW w:w="987" w:type="dxa"/>
            <w:vAlign w:val="center"/>
          </w:tcPr>
          <w:p w14:paraId="6A496563" w14:textId="5F6EE900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E5334C" w:rsidRPr="00CA79B0" w14:paraId="107C7274" w14:textId="77777777" w:rsidTr="005A5FA4">
        <w:tc>
          <w:tcPr>
            <w:tcW w:w="2547" w:type="dxa"/>
          </w:tcPr>
          <w:p w14:paraId="105C99E1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Rechtliche Beratung einbeziehen</w:t>
            </w:r>
          </w:p>
        </w:tc>
        <w:tc>
          <w:tcPr>
            <w:tcW w:w="5528" w:type="dxa"/>
          </w:tcPr>
          <w:p w14:paraId="4B88077B" w14:textId="77777777" w:rsidR="00E5334C" w:rsidRPr="00CA79B0" w:rsidRDefault="00E5334C" w:rsidP="00E5334C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Bei Unsicherheiten zu Mitbestimmungsrechten oder Datenschutzfragen ist es ratsam, rechtliche Beratung einzuholen.</w:t>
            </w:r>
          </w:p>
        </w:tc>
        <w:tc>
          <w:tcPr>
            <w:tcW w:w="987" w:type="dxa"/>
            <w:vAlign w:val="center"/>
          </w:tcPr>
          <w:p w14:paraId="3C93E31C" w14:textId="3CED7F37" w:rsidR="00E5334C" w:rsidRPr="00CA79B0" w:rsidRDefault="00E5334C" w:rsidP="00E5334C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CA79B0" w:rsidRPr="00CA79B0" w14:paraId="358DE5D9" w14:textId="77777777" w:rsidTr="004E04B9">
        <w:tc>
          <w:tcPr>
            <w:tcW w:w="9062" w:type="dxa"/>
            <w:gridSpan w:val="3"/>
          </w:tcPr>
          <w:p w14:paraId="113F9859" w14:textId="77777777" w:rsidR="00CA79B0" w:rsidRPr="00CA79B0" w:rsidRDefault="00CA79B0" w:rsidP="00CA79B0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 xml:space="preserve">Zu finden unter www.adiuva.de </w:t>
            </w:r>
          </w:p>
          <w:p w14:paraId="4FC43764" w14:textId="77777777" w:rsidR="00CA79B0" w:rsidRPr="00CA79B0" w:rsidRDefault="00CA79B0" w:rsidP="00CA79B0">
            <w:pPr>
              <w:rPr>
                <w:rFonts w:eastAsia="Calibri" w:cs="Times New Roman"/>
              </w:rPr>
            </w:pPr>
            <w:r w:rsidRPr="00CA79B0">
              <w:rPr>
                <w:rFonts w:eastAsia="Calibri" w:cs="Times New Roman"/>
              </w:rPr>
              <w:t>unter Eingabe des Titels im Suchfeld</w:t>
            </w:r>
          </w:p>
        </w:tc>
      </w:tr>
    </w:tbl>
    <w:p w14:paraId="0A996207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63C9700-3CC9-4CC5-B8EF-F7386364F958}"/>
    <w:docVar w:name="dgnword-eventsink" w:val="1579821402928"/>
  </w:docVars>
  <w:rsids>
    <w:rsidRoot w:val="00CA79B0"/>
    <w:rsid w:val="001B76B5"/>
    <w:rsid w:val="00217EFA"/>
    <w:rsid w:val="00362E2A"/>
    <w:rsid w:val="003C089F"/>
    <w:rsid w:val="0045495D"/>
    <w:rsid w:val="008D4230"/>
    <w:rsid w:val="00965D3E"/>
    <w:rsid w:val="00B65678"/>
    <w:rsid w:val="00CA79B0"/>
    <w:rsid w:val="00CE0073"/>
    <w:rsid w:val="00D033F2"/>
    <w:rsid w:val="00D37614"/>
    <w:rsid w:val="00D3764F"/>
    <w:rsid w:val="00E07576"/>
    <w:rsid w:val="00E26D9A"/>
    <w:rsid w:val="00E5334C"/>
    <w:rsid w:val="00F2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5A64"/>
  <w15:chartTrackingRefBased/>
  <w15:docId w15:val="{1BB99A86-EBC9-4F6D-8A15-5259479D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7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7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79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79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79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79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79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79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79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7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7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79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79B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79B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79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79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79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7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7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7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79B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7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7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79B0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79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79B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7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79B0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79B0"/>
    <w:rPr>
      <w:b/>
      <w:bCs/>
      <w:smallCaps/>
      <w:color w:val="2F5496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CA79B0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CA79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1663</Characters>
  <Application>Microsoft Office Word</Application>
  <DocSecurity>0</DocSecurity>
  <Lines>35</Lines>
  <Paragraphs>20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Sybille Kalinka</cp:lastModifiedBy>
  <cp:revision>2</cp:revision>
  <dcterms:created xsi:type="dcterms:W3CDTF">2025-10-09T12:35:00Z</dcterms:created>
  <dcterms:modified xsi:type="dcterms:W3CDTF">2025-10-09T12:35:00Z</dcterms:modified>
</cp:coreProperties>
</file>