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F946" w14:textId="77777777" w:rsidR="00E73A27" w:rsidRPr="00E73A27" w:rsidRDefault="00E73A27" w:rsidP="00E73A27">
      <w:pPr>
        <w:rPr>
          <w:rFonts w:eastAsia="Calibri" w:cs="Times New Roman"/>
          <w:b/>
          <w:bCs/>
          <w:kern w:val="0"/>
          <w14:ligatures w14:val="none"/>
        </w:rPr>
      </w:pPr>
      <w:r w:rsidRPr="00E73A27">
        <w:rPr>
          <w:rFonts w:eastAsia="Calibri" w:cs="Times New Roman"/>
          <w:b/>
          <w:bCs/>
          <w:kern w:val="0"/>
          <w14:ligatures w14:val="none"/>
        </w:rPr>
        <w:t>Checkliste: Rückforderungen überzahlter Bezüge prüfen</w:t>
      </w:r>
    </w:p>
    <w:p w14:paraId="525AD87B" w14:textId="77777777" w:rsidR="00E73A27" w:rsidRPr="00E73A27" w:rsidRDefault="00E73A27" w:rsidP="00E73A27">
      <w:pPr>
        <w:rPr>
          <w:rFonts w:eastAsia="Calibri" w:cs="Times New Roman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125"/>
        <w:gridCol w:w="937"/>
      </w:tblGrid>
      <w:tr w:rsidR="00E73A27" w:rsidRPr="00431D73" w14:paraId="708C05C8" w14:textId="77777777" w:rsidTr="00431D73">
        <w:tc>
          <w:tcPr>
            <w:tcW w:w="8185" w:type="dxa"/>
            <w:shd w:val="clear" w:color="auto" w:fill="D0CECE" w:themeFill="background2" w:themeFillShade="E6"/>
          </w:tcPr>
          <w:p w14:paraId="022FCFD0" w14:textId="77777777" w:rsidR="00E73A27" w:rsidRPr="00431D73" w:rsidRDefault="00E73A27" w:rsidP="00E73A2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spellStart"/>
            <w:r w:rsidRPr="00431D73">
              <w:rPr>
                <w:rFonts w:eastAsia="Calibri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431D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do</w:t>
            </w:r>
          </w:p>
        </w:tc>
        <w:tc>
          <w:tcPr>
            <w:tcW w:w="877" w:type="dxa"/>
            <w:shd w:val="clear" w:color="auto" w:fill="D0CECE" w:themeFill="background2" w:themeFillShade="E6"/>
          </w:tcPr>
          <w:p w14:paraId="7F440BF7" w14:textId="77777777" w:rsidR="00E73A27" w:rsidRPr="00431D73" w:rsidRDefault="00E73A27" w:rsidP="00431D73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31D73">
              <w:rPr>
                <w:rFonts w:eastAsia="Calibri" w:cs="Times New Roman"/>
                <w:b/>
                <w:bCs/>
                <w:sz w:val="24"/>
                <w:szCs w:val="24"/>
              </w:rPr>
              <w:t>Check</w:t>
            </w:r>
          </w:p>
        </w:tc>
      </w:tr>
      <w:tr w:rsidR="00E73A27" w:rsidRPr="0026066F" w14:paraId="04641B1B" w14:textId="77777777" w:rsidTr="00431D73">
        <w:tc>
          <w:tcPr>
            <w:tcW w:w="8185" w:type="dxa"/>
            <w:shd w:val="clear" w:color="auto" w:fill="E7E6E6" w:themeFill="background2"/>
          </w:tcPr>
          <w:p w14:paraId="73DB6CFA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1. Überzahlung prüfen</w:t>
            </w:r>
          </w:p>
        </w:tc>
        <w:tc>
          <w:tcPr>
            <w:tcW w:w="877" w:type="dxa"/>
            <w:shd w:val="clear" w:color="auto" w:fill="E7E6E6" w:themeFill="background2"/>
          </w:tcPr>
          <w:p w14:paraId="43F0B532" w14:textId="77777777" w:rsidR="00E73A27" w:rsidRPr="0026066F" w:rsidRDefault="00E73A27" w:rsidP="00431D73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</w:tr>
      <w:tr w:rsidR="00E73A27" w:rsidRPr="00E73A27" w14:paraId="23D6464D" w14:textId="77777777" w:rsidTr="00431D73">
        <w:tc>
          <w:tcPr>
            <w:tcW w:w="8185" w:type="dxa"/>
          </w:tcPr>
          <w:p w14:paraId="0F70896B" w14:textId="77777777" w:rsidR="00E73A27" w:rsidRPr="00E73A27" w:rsidRDefault="00E73A27" w:rsidP="00E73A27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Wurde der Beschäftigte korrekt eingruppiert oder besoldet?</w:t>
            </w:r>
          </w:p>
        </w:tc>
        <w:tc>
          <w:tcPr>
            <w:tcW w:w="877" w:type="dxa"/>
          </w:tcPr>
          <w:p w14:paraId="6B548098" w14:textId="00B7BD2C" w:rsidR="00E73A27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2DB44DD2" w14:textId="77777777" w:rsidTr="00431D73">
        <w:tc>
          <w:tcPr>
            <w:tcW w:w="8185" w:type="dxa"/>
          </w:tcPr>
          <w:p w14:paraId="6E53ADD8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Entspricht die gezahlte Zulage oder das Gehalt der vertraglichen bzw. besoldungsrechtlichen Grundlage?</w:t>
            </w:r>
          </w:p>
        </w:tc>
        <w:tc>
          <w:tcPr>
            <w:tcW w:w="877" w:type="dxa"/>
          </w:tcPr>
          <w:p w14:paraId="1B412850" w14:textId="3726CE4F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254294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41451FF5" w14:textId="77777777" w:rsidTr="00431D73">
        <w:tc>
          <w:tcPr>
            <w:tcW w:w="8185" w:type="dxa"/>
          </w:tcPr>
          <w:p w14:paraId="791A3313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Liegen fehlerhafte Eingaben bei Arbeitszeiten oder Beschäftigungsumfang vor?</w:t>
            </w:r>
          </w:p>
        </w:tc>
        <w:tc>
          <w:tcPr>
            <w:tcW w:w="877" w:type="dxa"/>
          </w:tcPr>
          <w:p w14:paraId="7D264C2C" w14:textId="66C58A48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254294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26066F" w14:paraId="1B6FBA23" w14:textId="77777777" w:rsidTr="00431D73">
        <w:tc>
          <w:tcPr>
            <w:tcW w:w="8185" w:type="dxa"/>
          </w:tcPr>
          <w:p w14:paraId="657C6475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2. Anhörung des Betroffenen</w:t>
            </w:r>
          </w:p>
        </w:tc>
        <w:tc>
          <w:tcPr>
            <w:tcW w:w="877" w:type="dxa"/>
          </w:tcPr>
          <w:p w14:paraId="7026CC12" w14:textId="77777777" w:rsidR="00E73A27" w:rsidRPr="0026066F" w:rsidRDefault="00E73A27" w:rsidP="00431D73">
            <w:pPr>
              <w:rPr>
                <w:rFonts w:eastAsia="Calibri" w:cs="Times New Roman"/>
                <w:b/>
                <w:bCs/>
              </w:rPr>
            </w:pPr>
          </w:p>
        </w:tc>
      </w:tr>
      <w:tr w:rsidR="00431D73" w:rsidRPr="00E73A27" w14:paraId="7C808D8C" w14:textId="77777777" w:rsidTr="00431D73">
        <w:tc>
          <w:tcPr>
            <w:tcW w:w="8185" w:type="dxa"/>
          </w:tcPr>
          <w:p w14:paraId="2844A443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Hat der Dienstherr ein Anhörungsschreiben versandt?</w:t>
            </w:r>
          </w:p>
        </w:tc>
        <w:tc>
          <w:tcPr>
            <w:tcW w:w="877" w:type="dxa"/>
          </w:tcPr>
          <w:p w14:paraId="6C5E661E" w14:textId="2BC7359C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500529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396D7816" w14:textId="77777777" w:rsidTr="00431D73">
        <w:tc>
          <w:tcPr>
            <w:tcW w:w="8185" w:type="dxa"/>
          </w:tcPr>
          <w:p w14:paraId="6AC32F6A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Wurde dem Beschäftigten ausreichend Zeit eingeräumt, um Stellung zu nehmen?</w:t>
            </w:r>
          </w:p>
        </w:tc>
        <w:tc>
          <w:tcPr>
            <w:tcW w:w="877" w:type="dxa"/>
          </w:tcPr>
          <w:p w14:paraId="5CFEE393" w14:textId="14606243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500529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7F0B8AFC" w14:textId="77777777" w:rsidTr="00431D73">
        <w:tc>
          <w:tcPr>
            <w:tcW w:w="8185" w:type="dxa"/>
          </w:tcPr>
          <w:p w14:paraId="37A4BD3C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Wurden die Einwände des Betroffenen dokumentiert und berücksichtigt?</w:t>
            </w:r>
          </w:p>
        </w:tc>
        <w:tc>
          <w:tcPr>
            <w:tcW w:w="877" w:type="dxa"/>
          </w:tcPr>
          <w:p w14:paraId="45FC6716" w14:textId="50A66DD8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500529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26066F" w14:paraId="77440146" w14:textId="77777777" w:rsidTr="00431D73">
        <w:tc>
          <w:tcPr>
            <w:tcW w:w="8185" w:type="dxa"/>
            <w:shd w:val="clear" w:color="auto" w:fill="E7E6E6" w:themeFill="background2"/>
          </w:tcPr>
          <w:p w14:paraId="782C80AE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3. Besteht eine rechtliche Grundlage für die Rückforderung?</w:t>
            </w:r>
          </w:p>
        </w:tc>
        <w:tc>
          <w:tcPr>
            <w:tcW w:w="877" w:type="dxa"/>
            <w:shd w:val="clear" w:color="auto" w:fill="E7E6E6" w:themeFill="background2"/>
          </w:tcPr>
          <w:p w14:paraId="5E517D62" w14:textId="77777777" w:rsidR="00E73A27" w:rsidRPr="0026066F" w:rsidRDefault="00E73A27" w:rsidP="00431D73">
            <w:pPr>
              <w:rPr>
                <w:rFonts w:eastAsia="Calibri" w:cs="Times New Roman"/>
                <w:b/>
                <w:bCs/>
              </w:rPr>
            </w:pPr>
          </w:p>
        </w:tc>
      </w:tr>
      <w:tr w:rsidR="00431D73" w:rsidRPr="00E73A27" w14:paraId="6C1247F4" w14:textId="77777777" w:rsidTr="00431D73">
        <w:tc>
          <w:tcPr>
            <w:tcW w:w="8185" w:type="dxa"/>
          </w:tcPr>
          <w:p w14:paraId="06F1D11F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Für Beamte: § 12 BBesG und ggf. landesrechtliche Vorschriften prüfen.</w:t>
            </w:r>
          </w:p>
        </w:tc>
        <w:tc>
          <w:tcPr>
            <w:tcW w:w="877" w:type="dxa"/>
          </w:tcPr>
          <w:p w14:paraId="05F03AF4" w14:textId="58F35AE2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2E5218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393603BC" w14:textId="77777777" w:rsidTr="00431D73">
        <w:tc>
          <w:tcPr>
            <w:tcW w:w="8185" w:type="dxa"/>
          </w:tcPr>
          <w:p w14:paraId="145F4704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Für Arbeitnehmer: §§ 812 ff. BGB („ungerechtfertigte Bereicherung“).</w:t>
            </w:r>
          </w:p>
        </w:tc>
        <w:tc>
          <w:tcPr>
            <w:tcW w:w="877" w:type="dxa"/>
          </w:tcPr>
          <w:p w14:paraId="2634232C" w14:textId="0AF2648D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2E5218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6D7ACB59" w14:textId="77777777" w:rsidTr="00431D73">
        <w:tc>
          <w:tcPr>
            <w:tcW w:w="8185" w:type="dxa"/>
          </w:tcPr>
          <w:p w14:paraId="683A1857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Wurde die Anspruchsgrundlage korrekt benannt und angewendet?</w:t>
            </w:r>
          </w:p>
        </w:tc>
        <w:tc>
          <w:tcPr>
            <w:tcW w:w="877" w:type="dxa"/>
          </w:tcPr>
          <w:p w14:paraId="17C4A1AB" w14:textId="10081D8A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2E5218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26066F" w14:paraId="26AB0028" w14:textId="77777777" w:rsidTr="00431D73">
        <w:tc>
          <w:tcPr>
            <w:tcW w:w="8185" w:type="dxa"/>
            <w:shd w:val="clear" w:color="auto" w:fill="E7E6E6" w:themeFill="background2"/>
          </w:tcPr>
          <w:p w14:paraId="532B46ED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4. Erkennbarkeit der Überzahlung prüfen</w:t>
            </w:r>
          </w:p>
        </w:tc>
        <w:tc>
          <w:tcPr>
            <w:tcW w:w="877" w:type="dxa"/>
            <w:shd w:val="clear" w:color="auto" w:fill="E7E6E6" w:themeFill="background2"/>
          </w:tcPr>
          <w:p w14:paraId="3E4CE2F1" w14:textId="77777777" w:rsidR="00E73A27" w:rsidRPr="0026066F" w:rsidRDefault="00E73A27" w:rsidP="00431D73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</w:tr>
      <w:tr w:rsidR="00431D73" w:rsidRPr="00E73A27" w14:paraId="4BF6A3EB" w14:textId="77777777" w:rsidTr="00431D73">
        <w:tc>
          <w:tcPr>
            <w:tcW w:w="8185" w:type="dxa"/>
          </w:tcPr>
          <w:p w14:paraId="0931D8C0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War der Fehler für den Beschäftigten offensichtlich?</w:t>
            </w:r>
          </w:p>
        </w:tc>
        <w:tc>
          <w:tcPr>
            <w:tcW w:w="877" w:type="dxa"/>
          </w:tcPr>
          <w:p w14:paraId="5854E589" w14:textId="77706AF4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8B0AAC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14F8577D" w14:textId="77777777" w:rsidTr="00431D73">
        <w:tc>
          <w:tcPr>
            <w:tcW w:w="8185" w:type="dxa"/>
          </w:tcPr>
          <w:p w14:paraId="4FFB3E78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Hätte der Beschäftigte bei sorgfältiger Prüfung den Fehler erkennen müssen?</w:t>
            </w:r>
          </w:p>
        </w:tc>
        <w:tc>
          <w:tcPr>
            <w:tcW w:w="877" w:type="dxa"/>
          </w:tcPr>
          <w:p w14:paraId="74986219" w14:textId="2EC40535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8B0AAC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6711E70C" w14:textId="77777777" w:rsidTr="00431D73">
        <w:tc>
          <w:tcPr>
            <w:tcW w:w="8185" w:type="dxa"/>
          </w:tcPr>
          <w:p w14:paraId="16411A5F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Liegt grobe Fahrlässigkeit oder positive Kenntnis vor?</w:t>
            </w:r>
          </w:p>
        </w:tc>
        <w:tc>
          <w:tcPr>
            <w:tcW w:w="877" w:type="dxa"/>
          </w:tcPr>
          <w:p w14:paraId="5A9D7EAF" w14:textId="310891C1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8B0AAC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26066F" w14:paraId="2A09FFB6" w14:textId="77777777" w:rsidTr="00431D73">
        <w:tc>
          <w:tcPr>
            <w:tcW w:w="8185" w:type="dxa"/>
            <w:shd w:val="clear" w:color="auto" w:fill="E7E6E6" w:themeFill="background2"/>
          </w:tcPr>
          <w:p w14:paraId="7CF99164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5. Höhe der Rückforderung klären</w:t>
            </w:r>
          </w:p>
        </w:tc>
        <w:tc>
          <w:tcPr>
            <w:tcW w:w="877" w:type="dxa"/>
            <w:shd w:val="clear" w:color="auto" w:fill="E7E6E6" w:themeFill="background2"/>
          </w:tcPr>
          <w:p w14:paraId="0D4BA51D" w14:textId="77777777" w:rsidR="00E73A27" w:rsidRPr="0026066F" w:rsidRDefault="00E73A27" w:rsidP="00431D73">
            <w:pPr>
              <w:rPr>
                <w:rFonts w:eastAsia="Calibri" w:cs="Times New Roman"/>
                <w:b/>
                <w:bCs/>
              </w:rPr>
            </w:pPr>
          </w:p>
        </w:tc>
      </w:tr>
      <w:tr w:rsidR="00431D73" w:rsidRPr="00E73A27" w14:paraId="1A3DCBF6" w14:textId="77777777" w:rsidTr="00431D73">
        <w:tc>
          <w:tcPr>
            <w:tcW w:w="8185" w:type="dxa"/>
          </w:tcPr>
          <w:p w14:paraId="5CA3A91B" w14:textId="0442DA1F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Brutto- oder Nettobetrag zurück</w:t>
            </w:r>
            <w:r w:rsidR="006E6298">
              <w:rPr>
                <w:rFonts w:eastAsia="Calibri" w:cs="Times New Roman"/>
              </w:rPr>
              <w:t>ge</w:t>
            </w:r>
            <w:r w:rsidRPr="00E73A27">
              <w:rPr>
                <w:rFonts w:eastAsia="Calibri" w:cs="Times New Roman"/>
              </w:rPr>
              <w:t>forder</w:t>
            </w:r>
            <w:r w:rsidR="006E6298">
              <w:rPr>
                <w:rFonts w:eastAsia="Calibri" w:cs="Times New Roman"/>
              </w:rPr>
              <w:t>t</w:t>
            </w:r>
            <w:r w:rsidRPr="00E73A27">
              <w:rPr>
                <w:rFonts w:eastAsia="Calibri" w:cs="Times New Roman"/>
              </w:rPr>
              <w:t>?</w:t>
            </w:r>
          </w:p>
        </w:tc>
        <w:tc>
          <w:tcPr>
            <w:tcW w:w="877" w:type="dxa"/>
          </w:tcPr>
          <w:p w14:paraId="0D9B4F4C" w14:textId="56A6EBD4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5C126D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09D9331A" w14:textId="77777777" w:rsidTr="00431D73">
        <w:tc>
          <w:tcPr>
            <w:tcW w:w="8185" w:type="dxa"/>
          </w:tcPr>
          <w:p w14:paraId="4FC65C6E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Wurden steuerliche Aspekte und mögliche Abzüge berücksichtigt?</w:t>
            </w:r>
          </w:p>
        </w:tc>
        <w:tc>
          <w:tcPr>
            <w:tcW w:w="877" w:type="dxa"/>
          </w:tcPr>
          <w:p w14:paraId="07D4CD6B" w14:textId="5CB21801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5C126D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7A826854" w14:textId="77777777" w:rsidTr="00431D73">
        <w:tc>
          <w:tcPr>
            <w:tcW w:w="8185" w:type="dxa"/>
          </w:tcPr>
          <w:p w14:paraId="6C8A2CE2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Liegen Teilbeträge vor, die bereits ausgegeben wurden?</w:t>
            </w:r>
          </w:p>
        </w:tc>
        <w:tc>
          <w:tcPr>
            <w:tcW w:w="877" w:type="dxa"/>
          </w:tcPr>
          <w:p w14:paraId="0BE8BC09" w14:textId="374FBF19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5C126D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26066F" w14:paraId="6B4E01F7" w14:textId="77777777" w:rsidTr="00431D73">
        <w:tc>
          <w:tcPr>
            <w:tcW w:w="8185" w:type="dxa"/>
            <w:shd w:val="clear" w:color="auto" w:fill="E7E6E6" w:themeFill="background2"/>
          </w:tcPr>
          <w:p w14:paraId="35124C09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6. Einrede der Entreicherung prüfen</w:t>
            </w:r>
          </w:p>
        </w:tc>
        <w:tc>
          <w:tcPr>
            <w:tcW w:w="877" w:type="dxa"/>
            <w:shd w:val="clear" w:color="auto" w:fill="E7E6E6" w:themeFill="background2"/>
          </w:tcPr>
          <w:p w14:paraId="19FBC8AB" w14:textId="77777777" w:rsidR="00E73A27" w:rsidRPr="0026066F" w:rsidRDefault="00E73A27" w:rsidP="00431D73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</w:tr>
      <w:tr w:rsidR="00431D73" w:rsidRPr="00E73A27" w14:paraId="7EB72EB1" w14:textId="77777777" w:rsidTr="00431D73">
        <w:tc>
          <w:tcPr>
            <w:tcW w:w="8185" w:type="dxa"/>
          </w:tcPr>
          <w:p w14:paraId="2AAE4343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Wurde das erhaltene Geld bereits vollständig ausgegeben?</w:t>
            </w:r>
          </w:p>
        </w:tc>
        <w:tc>
          <w:tcPr>
            <w:tcW w:w="877" w:type="dxa"/>
          </w:tcPr>
          <w:p w14:paraId="7A5735C8" w14:textId="14D4907A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F3120F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666E4256" w14:textId="77777777" w:rsidTr="00431D73">
        <w:tc>
          <w:tcPr>
            <w:tcW w:w="8185" w:type="dxa"/>
          </w:tcPr>
          <w:p w14:paraId="54873203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Besteht noch Vermögen, auf das die Rückforderung zurückgreifen kann?</w:t>
            </w:r>
          </w:p>
        </w:tc>
        <w:tc>
          <w:tcPr>
            <w:tcW w:w="877" w:type="dxa"/>
          </w:tcPr>
          <w:p w14:paraId="619684B7" w14:textId="39B7492D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F3120F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26066F" w14:paraId="523FAAC8" w14:textId="77777777" w:rsidTr="00431D73">
        <w:tc>
          <w:tcPr>
            <w:tcW w:w="8185" w:type="dxa"/>
            <w:shd w:val="clear" w:color="auto" w:fill="E7E6E6" w:themeFill="background2"/>
          </w:tcPr>
          <w:p w14:paraId="0242EE21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7. Verjährung und Verfall berücksichtigen</w:t>
            </w:r>
          </w:p>
        </w:tc>
        <w:tc>
          <w:tcPr>
            <w:tcW w:w="877" w:type="dxa"/>
            <w:shd w:val="clear" w:color="auto" w:fill="E7E6E6" w:themeFill="background2"/>
          </w:tcPr>
          <w:p w14:paraId="5CB621E8" w14:textId="77777777" w:rsidR="00E73A27" w:rsidRPr="0026066F" w:rsidRDefault="00E73A27" w:rsidP="00431D73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</w:tr>
      <w:tr w:rsidR="00431D73" w:rsidRPr="00E73A27" w14:paraId="60E6F217" w14:textId="77777777" w:rsidTr="00431D73">
        <w:tc>
          <w:tcPr>
            <w:tcW w:w="8185" w:type="dxa"/>
          </w:tcPr>
          <w:p w14:paraId="6F87A1E8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Wann ist der Anspruch entstanden?</w:t>
            </w:r>
          </w:p>
        </w:tc>
        <w:tc>
          <w:tcPr>
            <w:tcW w:w="877" w:type="dxa"/>
          </w:tcPr>
          <w:p w14:paraId="415B26A9" w14:textId="596E07FB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84221E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7F0CCB08" w14:textId="77777777" w:rsidTr="00431D73">
        <w:tc>
          <w:tcPr>
            <w:tcW w:w="8185" w:type="dxa"/>
          </w:tcPr>
          <w:p w14:paraId="16E24E40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Kenntnis des Dienstherrn über die Überzahlung prüfen.</w:t>
            </w:r>
          </w:p>
        </w:tc>
        <w:tc>
          <w:tcPr>
            <w:tcW w:w="877" w:type="dxa"/>
          </w:tcPr>
          <w:p w14:paraId="02E0A454" w14:textId="6D3512A7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84221E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003D3690" w14:textId="77777777" w:rsidTr="00431D73">
        <w:tc>
          <w:tcPr>
            <w:tcW w:w="8185" w:type="dxa"/>
          </w:tcPr>
          <w:p w14:paraId="28D5EBAB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Wurde die Dreijahresfrist eingehalten oder besteht ein Anspruch auf Einrede der Verjährung?</w:t>
            </w:r>
          </w:p>
        </w:tc>
        <w:tc>
          <w:tcPr>
            <w:tcW w:w="877" w:type="dxa"/>
          </w:tcPr>
          <w:p w14:paraId="31BECFF8" w14:textId="28199525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84221E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14C983A5" w14:textId="77777777" w:rsidTr="00431D73">
        <w:tc>
          <w:tcPr>
            <w:tcW w:w="8185" w:type="dxa"/>
          </w:tcPr>
          <w:p w14:paraId="4762E124" w14:textId="5D00C5D0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 xml:space="preserve">Gibt es im </w:t>
            </w:r>
            <w:r w:rsidR="006E6298">
              <w:rPr>
                <w:rFonts w:eastAsia="Calibri" w:cs="Times New Roman"/>
              </w:rPr>
              <w:t>A</w:t>
            </w:r>
            <w:r w:rsidRPr="00E73A27">
              <w:rPr>
                <w:rFonts w:eastAsia="Calibri" w:cs="Times New Roman"/>
              </w:rPr>
              <w:t>rbeits- oder Tarifvertrag (z</w:t>
            </w:r>
            <w:r>
              <w:rPr>
                <w:rFonts w:eastAsia="Calibri" w:cs="Times New Roman"/>
              </w:rPr>
              <w:t>.</w:t>
            </w:r>
            <w:r w:rsidRPr="00E73A27">
              <w:rPr>
                <w:rFonts w:eastAsia="Calibri" w:cs="Times New Roman"/>
              </w:rPr>
              <w:t xml:space="preserve"> B</w:t>
            </w:r>
            <w:r>
              <w:rPr>
                <w:rFonts w:eastAsia="Calibri" w:cs="Times New Roman"/>
              </w:rPr>
              <w:t>.</w:t>
            </w:r>
            <w:r w:rsidRPr="00E73A27">
              <w:rPr>
                <w:rFonts w:eastAsia="Calibri" w:cs="Times New Roman"/>
              </w:rPr>
              <w:t xml:space="preserve"> § 37 TVöD) eine Verfallklausel, nach der Ansprüche nach einer gewissen Zeit nicht mehr geltend gemacht werden können?</w:t>
            </w:r>
          </w:p>
        </w:tc>
        <w:tc>
          <w:tcPr>
            <w:tcW w:w="877" w:type="dxa"/>
          </w:tcPr>
          <w:p w14:paraId="37641013" w14:textId="787B654F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84221E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26066F" w14:paraId="076D0E88" w14:textId="77777777" w:rsidTr="00431D73">
        <w:tc>
          <w:tcPr>
            <w:tcW w:w="8185" w:type="dxa"/>
            <w:shd w:val="clear" w:color="auto" w:fill="E7E6E6" w:themeFill="background2"/>
          </w:tcPr>
          <w:p w14:paraId="02BC963F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8. Ermessensentscheidung/Billigkeit prüfen</w:t>
            </w:r>
          </w:p>
        </w:tc>
        <w:tc>
          <w:tcPr>
            <w:tcW w:w="877" w:type="dxa"/>
            <w:shd w:val="clear" w:color="auto" w:fill="E7E6E6" w:themeFill="background2"/>
          </w:tcPr>
          <w:p w14:paraId="17DCA9DC" w14:textId="77777777" w:rsidR="00E73A27" w:rsidRPr="0026066F" w:rsidRDefault="00E73A27" w:rsidP="00431D73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</w:tr>
      <w:tr w:rsidR="00431D73" w:rsidRPr="00E73A27" w14:paraId="682D6508" w14:textId="77777777" w:rsidTr="00431D73">
        <w:tc>
          <w:tcPr>
            <w:tcW w:w="8185" w:type="dxa"/>
          </w:tcPr>
          <w:p w14:paraId="7DD324F6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Hat der Dienstherr eine Billigkeitsprüfung durchgeführt?</w:t>
            </w:r>
          </w:p>
        </w:tc>
        <w:tc>
          <w:tcPr>
            <w:tcW w:w="877" w:type="dxa"/>
          </w:tcPr>
          <w:p w14:paraId="283DDBFE" w14:textId="508B4FFE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5D6A8C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20B24AD4" w14:textId="77777777" w:rsidTr="00431D73">
        <w:tc>
          <w:tcPr>
            <w:tcW w:w="8185" w:type="dxa"/>
          </w:tcPr>
          <w:p w14:paraId="3089C1DE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Wurde geprüft, ob eine Teilerlassung oder Ratenzahlung angemessen ist?</w:t>
            </w:r>
          </w:p>
        </w:tc>
        <w:tc>
          <w:tcPr>
            <w:tcW w:w="877" w:type="dxa"/>
          </w:tcPr>
          <w:p w14:paraId="2FDF32F2" w14:textId="0B88A91B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5D6A8C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790342D4" w14:textId="77777777" w:rsidTr="00431D73">
        <w:tc>
          <w:tcPr>
            <w:tcW w:w="8185" w:type="dxa"/>
          </w:tcPr>
          <w:p w14:paraId="72ED637B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Liegen mildernde Umstände vor, z. B. Verschulden der Verwaltung?</w:t>
            </w:r>
          </w:p>
        </w:tc>
        <w:tc>
          <w:tcPr>
            <w:tcW w:w="877" w:type="dxa"/>
          </w:tcPr>
          <w:p w14:paraId="180E55EE" w14:textId="14CC1E85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5D6A8C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26066F" w14:paraId="206FE474" w14:textId="77777777" w:rsidTr="00431D73">
        <w:tc>
          <w:tcPr>
            <w:tcW w:w="8185" w:type="dxa"/>
            <w:shd w:val="clear" w:color="auto" w:fill="E7E6E6" w:themeFill="background2"/>
          </w:tcPr>
          <w:p w14:paraId="4585D39B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9. Praktische Handlungsoptionen für Betroffene</w:t>
            </w:r>
          </w:p>
        </w:tc>
        <w:tc>
          <w:tcPr>
            <w:tcW w:w="877" w:type="dxa"/>
            <w:shd w:val="clear" w:color="auto" w:fill="E7E6E6" w:themeFill="background2"/>
          </w:tcPr>
          <w:p w14:paraId="3A13B0BC" w14:textId="77777777" w:rsidR="00E73A27" w:rsidRPr="0026066F" w:rsidRDefault="00E73A27" w:rsidP="00431D73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</w:tr>
      <w:tr w:rsidR="00431D73" w:rsidRPr="00E73A27" w14:paraId="69277281" w14:textId="77777777" w:rsidTr="00431D73">
        <w:tc>
          <w:tcPr>
            <w:tcW w:w="8185" w:type="dxa"/>
          </w:tcPr>
          <w:p w14:paraId="7F9C0CE7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Stellungnahme zur Anhörung vorbereiten.</w:t>
            </w:r>
          </w:p>
        </w:tc>
        <w:tc>
          <w:tcPr>
            <w:tcW w:w="877" w:type="dxa"/>
          </w:tcPr>
          <w:p w14:paraId="20A80729" w14:textId="4958A42C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AA617A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1F18AD6B" w14:textId="77777777" w:rsidTr="00431D73">
        <w:tc>
          <w:tcPr>
            <w:tcW w:w="8185" w:type="dxa"/>
          </w:tcPr>
          <w:p w14:paraId="2960AB10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Steuerliche Beratung einholen.</w:t>
            </w:r>
          </w:p>
        </w:tc>
        <w:tc>
          <w:tcPr>
            <w:tcW w:w="877" w:type="dxa"/>
          </w:tcPr>
          <w:p w14:paraId="7C8F4360" w14:textId="689EFEC7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AA617A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40B05F81" w14:textId="77777777" w:rsidTr="00431D73">
        <w:tc>
          <w:tcPr>
            <w:tcW w:w="8185" w:type="dxa"/>
          </w:tcPr>
          <w:p w14:paraId="10C198F2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Über Ratenzahlung oder Teilnachlass verhandeln.</w:t>
            </w:r>
          </w:p>
        </w:tc>
        <w:tc>
          <w:tcPr>
            <w:tcW w:w="877" w:type="dxa"/>
          </w:tcPr>
          <w:p w14:paraId="6E1542CB" w14:textId="3ABC948F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860BA8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273189CD" w14:textId="77777777" w:rsidTr="00431D73">
        <w:tc>
          <w:tcPr>
            <w:tcW w:w="8185" w:type="dxa"/>
          </w:tcPr>
          <w:p w14:paraId="494CB825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Rechtliche Beratung prüfen, insbesondere bei hohen Rückforderungsbeträgen oder erkennbaren Fehlern seitens des Dienstherrn.</w:t>
            </w:r>
          </w:p>
        </w:tc>
        <w:tc>
          <w:tcPr>
            <w:tcW w:w="877" w:type="dxa"/>
          </w:tcPr>
          <w:p w14:paraId="1F414CF1" w14:textId="6F9C05B7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860BA8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26066F" w14:paraId="7FFF993D" w14:textId="77777777" w:rsidTr="00431D73">
        <w:tc>
          <w:tcPr>
            <w:tcW w:w="8185" w:type="dxa"/>
            <w:shd w:val="clear" w:color="auto" w:fill="E7E6E6" w:themeFill="background2"/>
          </w:tcPr>
          <w:p w14:paraId="402F301B" w14:textId="77777777" w:rsidR="00E73A27" w:rsidRPr="0026066F" w:rsidRDefault="00E73A27" w:rsidP="00E73A27">
            <w:pPr>
              <w:rPr>
                <w:rFonts w:eastAsia="Calibri" w:cs="Times New Roman"/>
                <w:b/>
                <w:bCs/>
              </w:rPr>
            </w:pPr>
            <w:r w:rsidRPr="0026066F">
              <w:rPr>
                <w:rFonts w:eastAsia="Calibri" w:cs="Times New Roman"/>
                <w:b/>
                <w:bCs/>
              </w:rPr>
              <w:t>10. Dokumentation für die Beratung</w:t>
            </w:r>
          </w:p>
        </w:tc>
        <w:tc>
          <w:tcPr>
            <w:tcW w:w="877" w:type="dxa"/>
            <w:shd w:val="clear" w:color="auto" w:fill="E7E6E6" w:themeFill="background2"/>
          </w:tcPr>
          <w:p w14:paraId="6D55648E" w14:textId="77777777" w:rsidR="00E73A27" w:rsidRPr="0026066F" w:rsidRDefault="00E73A27" w:rsidP="00431D73">
            <w:pPr>
              <w:jc w:val="center"/>
              <w:rPr>
                <w:rFonts w:eastAsia="Calibri" w:cs="Times New Roman"/>
                <w:b/>
                <w:bCs/>
              </w:rPr>
            </w:pPr>
          </w:p>
        </w:tc>
      </w:tr>
      <w:tr w:rsidR="00431D73" w:rsidRPr="00E73A27" w14:paraId="6585B969" w14:textId="77777777" w:rsidTr="00431D73">
        <w:tc>
          <w:tcPr>
            <w:tcW w:w="8185" w:type="dxa"/>
          </w:tcPr>
          <w:p w14:paraId="0BA6AA88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Alle Unterlagen und Bescheide sorgfältig sammeln.</w:t>
            </w:r>
          </w:p>
        </w:tc>
        <w:tc>
          <w:tcPr>
            <w:tcW w:w="877" w:type="dxa"/>
          </w:tcPr>
          <w:p w14:paraId="13E8D024" w14:textId="580DE077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D01E0A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3894F3FF" w14:textId="77777777" w:rsidTr="00431D73">
        <w:tc>
          <w:tcPr>
            <w:tcW w:w="8185" w:type="dxa"/>
          </w:tcPr>
          <w:p w14:paraId="5626E429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Gesprächsnotizen und Korrespondenz protokollieren.</w:t>
            </w:r>
          </w:p>
        </w:tc>
        <w:tc>
          <w:tcPr>
            <w:tcW w:w="877" w:type="dxa"/>
          </w:tcPr>
          <w:p w14:paraId="2D0BCBC4" w14:textId="2769216E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D01E0A">
              <w:rPr>
                <w:rFonts w:eastAsia="Calibri" w:cs="Times New Roman"/>
              </w:rPr>
              <w:sym w:font="Wingdings" w:char="F06F"/>
            </w:r>
          </w:p>
        </w:tc>
      </w:tr>
      <w:tr w:rsidR="00431D73" w:rsidRPr="00E73A27" w14:paraId="15D6C0DE" w14:textId="77777777" w:rsidTr="00431D73">
        <w:tc>
          <w:tcPr>
            <w:tcW w:w="8185" w:type="dxa"/>
          </w:tcPr>
          <w:p w14:paraId="456156A7" w14:textId="77777777" w:rsidR="00431D73" w:rsidRPr="00E73A27" w:rsidRDefault="00431D73" w:rsidP="00431D73">
            <w:pPr>
              <w:rPr>
                <w:rFonts w:eastAsia="Calibri" w:cs="Times New Roman"/>
              </w:rPr>
            </w:pPr>
            <w:r w:rsidRPr="00E73A27">
              <w:rPr>
                <w:rFonts w:eastAsia="Calibri" w:cs="Times New Roman"/>
              </w:rPr>
              <w:t>Prüfen, welche Unterlagen später als Beweismittel dienen können.</w:t>
            </w:r>
          </w:p>
        </w:tc>
        <w:tc>
          <w:tcPr>
            <w:tcW w:w="877" w:type="dxa"/>
          </w:tcPr>
          <w:p w14:paraId="4246166A" w14:textId="07343788" w:rsidR="00431D73" w:rsidRPr="00E73A27" w:rsidRDefault="00431D73" w:rsidP="00431D73">
            <w:pPr>
              <w:jc w:val="center"/>
              <w:rPr>
                <w:rFonts w:eastAsia="Calibri" w:cs="Times New Roman"/>
              </w:rPr>
            </w:pPr>
            <w:r w:rsidRPr="00D01E0A">
              <w:rPr>
                <w:rFonts w:eastAsia="Calibri" w:cs="Times New Roman"/>
              </w:rPr>
              <w:sym w:font="Wingdings" w:char="F06F"/>
            </w:r>
          </w:p>
        </w:tc>
      </w:tr>
      <w:tr w:rsidR="00E73A27" w:rsidRPr="00431D73" w14:paraId="673EA8FA" w14:textId="77777777" w:rsidTr="00431D73">
        <w:tc>
          <w:tcPr>
            <w:tcW w:w="9062" w:type="dxa"/>
            <w:gridSpan w:val="2"/>
            <w:shd w:val="clear" w:color="auto" w:fill="B4C6E7" w:themeFill="accent1" w:themeFillTint="66"/>
          </w:tcPr>
          <w:p w14:paraId="42558E3E" w14:textId="6BA2B356" w:rsidR="00E73A27" w:rsidRPr="00431D73" w:rsidRDefault="00E73A27" w:rsidP="00431D73">
            <w:pPr>
              <w:jc w:val="center"/>
              <w:rPr>
                <w:rFonts w:eastAsia="Calibri" w:cs="Times New Roman"/>
                <w:b/>
                <w:bCs/>
              </w:rPr>
            </w:pPr>
            <w:r w:rsidRPr="00431D73">
              <w:rPr>
                <w:rFonts w:eastAsia="Calibri" w:cs="Times New Roman"/>
                <w:b/>
                <w:bCs/>
              </w:rPr>
              <w:t>Zu finden unter www.adiuva.de unter Eingabe des Titels im Suchfeld</w:t>
            </w:r>
          </w:p>
        </w:tc>
      </w:tr>
    </w:tbl>
    <w:p w14:paraId="37B3EEB9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C9B1204-AD13-457D-AB6C-D280CEE47409}"/>
    <w:docVar w:name="dgnword-eventsink" w:val="2996393984064"/>
  </w:docVars>
  <w:rsids>
    <w:rsidRoot w:val="00E73A27"/>
    <w:rsid w:val="001B76B5"/>
    <w:rsid w:val="00217EFA"/>
    <w:rsid w:val="0026066F"/>
    <w:rsid w:val="00362E2A"/>
    <w:rsid w:val="003C089F"/>
    <w:rsid w:val="00431D73"/>
    <w:rsid w:val="004C4455"/>
    <w:rsid w:val="004F7302"/>
    <w:rsid w:val="006E6298"/>
    <w:rsid w:val="00757CA6"/>
    <w:rsid w:val="00823151"/>
    <w:rsid w:val="008D4230"/>
    <w:rsid w:val="00965D3E"/>
    <w:rsid w:val="00996E3E"/>
    <w:rsid w:val="00B65678"/>
    <w:rsid w:val="00C47EFB"/>
    <w:rsid w:val="00CE0073"/>
    <w:rsid w:val="00D033F2"/>
    <w:rsid w:val="00D3764F"/>
    <w:rsid w:val="00E07576"/>
    <w:rsid w:val="00E7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E625"/>
  <w15:chartTrackingRefBased/>
  <w15:docId w15:val="{69A8C1E5-4599-46C9-9791-09871524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3A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3A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3A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3A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3A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3A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3A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3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3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3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3A2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3A2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3A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3A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3A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3A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3A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3A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3A27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3A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3A2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3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3A27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3A27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E73A27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E73A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2333</Characters>
  <Application>Microsoft Office Word</Application>
  <DocSecurity>0</DocSecurity>
  <Lines>97</Lines>
  <Paragraphs>86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Sybille Kalinka</cp:lastModifiedBy>
  <cp:revision>3</cp:revision>
  <dcterms:created xsi:type="dcterms:W3CDTF">2026-04-01T14:59:00Z</dcterms:created>
  <dcterms:modified xsi:type="dcterms:W3CDTF">2026-04-01T15:01:00Z</dcterms:modified>
</cp:coreProperties>
</file>